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4F" w:rsidRDefault="00CF2B4F"/>
    <w:p w:rsidR="00152250" w:rsidRDefault="00976746" w:rsidP="0015225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lang w:val="cy-GB"/>
        </w:rPr>
        <w:t>Ymgysylltu â</w:t>
      </w:r>
      <w:r w:rsidRPr="00976746">
        <w:rPr>
          <w:rFonts w:ascii="Arial" w:hAnsi="Arial" w:cs="Arial"/>
          <w:b/>
          <w:u w:val="single"/>
          <w:lang w:val="cy-GB"/>
        </w:rPr>
        <w:t xml:space="preserve"> T</w:t>
      </w:r>
      <w:r>
        <w:rPr>
          <w:rFonts w:ascii="Arial" w:hAnsi="Arial" w:cs="Arial"/>
          <w:b/>
          <w:u w:val="single"/>
          <w:lang w:val="cy-GB"/>
        </w:rPr>
        <w:t>h</w:t>
      </w:r>
      <w:r w:rsidRPr="00976746">
        <w:rPr>
          <w:rFonts w:ascii="Arial" w:hAnsi="Arial" w:cs="Arial"/>
          <w:b/>
          <w:u w:val="single"/>
          <w:lang w:val="cy-GB"/>
        </w:rPr>
        <w:t>adau wrth Ddiogelu -</w:t>
      </w:r>
      <w:r w:rsidR="00152250">
        <w:rPr>
          <w:rFonts w:ascii="Arial" w:hAnsi="Arial" w:cs="Arial"/>
          <w:b/>
          <w:u w:val="single"/>
        </w:rPr>
        <w:t xml:space="preserve"> </w:t>
      </w:r>
    </w:p>
    <w:p w:rsidR="00152250" w:rsidRDefault="00152250" w:rsidP="0015225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u w:val="single"/>
        </w:rPr>
      </w:pPr>
    </w:p>
    <w:p w:rsidR="00152250" w:rsidRDefault="00152250" w:rsidP="0015225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u w:val="single"/>
        </w:rPr>
      </w:pPr>
    </w:p>
    <w:p w:rsidR="00152250" w:rsidRDefault="00976746" w:rsidP="00152250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976746">
        <w:rPr>
          <w:rFonts w:ascii="Arial" w:hAnsi="Arial" w:cs="Arial"/>
          <w:lang w:val="cy-GB"/>
        </w:rPr>
        <w:t xml:space="preserve">Gweithiodd y Gwasanaethau Plant, </w:t>
      </w:r>
      <w:bookmarkStart w:id="0" w:name="_GoBack"/>
      <w:bookmarkEnd w:id="0"/>
      <w:r w:rsidRPr="00976746">
        <w:rPr>
          <w:rFonts w:ascii="Arial" w:hAnsi="Arial" w:cs="Arial"/>
          <w:lang w:val="cy-GB"/>
        </w:rPr>
        <w:t xml:space="preserve">Teuluoedd a Diogelu yng Nghonwy mewn partneriaeth â’r </w:t>
      </w:r>
      <w:proofErr w:type="spellStart"/>
      <w:r w:rsidRPr="00976746">
        <w:rPr>
          <w:rFonts w:ascii="Arial" w:hAnsi="Arial" w:cs="Arial"/>
          <w:lang w:val="cy-GB"/>
        </w:rPr>
        <w:t>Fatherhood</w:t>
      </w:r>
      <w:proofErr w:type="spellEnd"/>
      <w:r w:rsidRPr="00976746">
        <w:rPr>
          <w:rFonts w:ascii="Arial" w:hAnsi="Arial" w:cs="Arial"/>
          <w:lang w:val="cy-GB"/>
        </w:rPr>
        <w:t xml:space="preserve"> Institute i werthuso arferion o fewn yr adran o ran sut rydym yn ymgysylltu yn effeithiol â Thadau/ Gofalwyr sy’n ddynion o fewn y broses Amddiffyn Plant. </w:t>
      </w:r>
      <w:r w:rsidR="00152250" w:rsidRPr="00545741">
        <w:rPr>
          <w:rFonts w:ascii="Arial" w:hAnsi="Arial" w:cs="Arial"/>
        </w:rPr>
        <w:t xml:space="preserve"> </w:t>
      </w:r>
      <w:r w:rsidRPr="00976746">
        <w:rPr>
          <w:rFonts w:ascii="Arial" w:hAnsi="Arial" w:cs="Arial"/>
          <w:lang w:val="cy-GB"/>
        </w:rPr>
        <w:t>Nod cyffredinol y prosiect hwn yw lleihau lefelau risg a chodi lefelau gofal i blant pan fo yna bryderon diogelu/</w:t>
      </w:r>
      <w:proofErr w:type="spellStart"/>
      <w:r w:rsidRPr="00976746">
        <w:rPr>
          <w:rFonts w:ascii="Arial" w:hAnsi="Arial" w:cs="Arial"/>
          <w:lang w:val="cy-GB"/>
        </w:rPr>
        <w:t>rhianta</w:t>
      </w:r>
      <w:proofErr w:type="spellEnd"/>
      <w:r w:rsidRPr="00976746">
        <w:rPr>
          <w:rFonts w:ascii="Arial" w:hAnsi="Arial" w:cs="Arial"/>
          <w:lang w:val="cy-GB"/>
        </w:rPr>
        <w:t xml:space="preserve">, drwy ddatblygu arferion gweithio gwell </w:t>
      </w:r>
      <w:r w:rsidR="00BA5541">
        <w:rPr>
          <w:rFonts w:ascii="Arial" w:hAnsi="Arial" w:cs="Arial"/>
          <w:lang w:val="cy-GB"/>
        </w:rPr>
        <w:t>g</w:t>
      </w:r>
      <w:r w:rsidRPr="00976746">
        <w:rPr>
          <w:rFonts w:ascii="Arial" w:hAnsi="Arial" w:cs="Arial"/>
          <w:lang w:val="cy-GB"/>
        </w:rPr>
        <w:t>wasanaethau gofal cymdeithasol ac asiantaethau partner drwy ymgysylltu’n fwy effeithiol â thadau.</w:t>
      </w:r>
      <w:r w:rsidR="00152250">
        <w:rPr>
          <w:rFonts w:ascii="Arial" w:hAnsi="Arial" w:cs="Arial"/>
        </w:rPr>
        <w:t xml:space="preserve"> </w:t>
      </w:r>
    </w:p>
    <w:p w:rsidR="00152250" w:rsidRDefault="00152250" w:rsidP="00152250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152250" w:rsidRDefault="00976746" w:rsidP="00152250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976746">
        <w:rPr>
          <w:rFonts w:ascii="Arial" w:hAnsi="Arial" w:cs="Arial"/>
          <w:lang w:val="cy-GB"/>
        </w:rPr>
        <w:t xml:space="preserve">Dros y 12 mis diwethaf, mae'r Awdurdod Lleol wedi datblygu ei </w:t>
      </w:r>
      <w:r w:rsidR="00BA5541">
        <w:rPr>
          <w:rFonts w:ascii="Arial" w:hAnsi="Arial" w:cs="Arial"/>
          <w:lang w:val="cy-GB"/>
        </w:rPr>
        <w:t>g</w:t>
      </w:r>
      <w:r w:rsidRPr="00976746">
        <w:rPr>
          <w:rFonts w:ascii="Arial" w:hAnsi="Arial" w:cs="Arial"/>
          <w:lang w:val="cy-GB"/>
        </w:rPr>
        <w:t>ynllun gweithredu mewnol ei hun ac wedi darparu hyfforddiant i ymarferwyr Aml-Asiantaeth ynglŷn ag ymgysylltu’n effeithiol gyda Thadau.</w:t>
      </w:r>
      <w:r w:rsidR="00152250">
        <w:rPr>
          <w:rFonts w:ascii="Arial" w:hAnsi="Arial" w:cs="Arial"/>
        </w:rPr>
        <w:t xml:space="preserve"> </w:t>
      </w:r>
      <w:r w:rsidRPr="00976746">
        <w:rPr>
          <w:rFonts w:ascii="Arial" w:hAnsi="Arial" w:cs="Arial"/>
          <w:lang w:val="cy-GB"/>
        </w:rPr>
        <w:t>Nododd yr archwiliad diweddaraf welliannau sylweddol mewn ymarfer yn ymwneud ag ymgysylltu gyda Thadau ac roedd hefyd yn gallu dangos gwell canlyniadau i Blant a Phobl Ifanc.</w:t>
      </w:r>
      <w:r w:rsidR="00152250">
        <w:rPr>
          <w:rFonts w:ascii="Arial" w:hAnsi="Arial" w:cs="Arial"/>
        </w:rPr>
        <w:t xml:space="preserve"> </w:t>
      </w:r>
    </w:p>
    <w:p w:rsidR="00AB78F2" w:rsidRDefault="00AB78F2" w:rsidP="00152250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AB78F2" w:rsidRPr="009A03E1" w:rsidRDefault="00AB78F2" w:rsidP="00152250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AB78F2">
        <w:rPr>
          <w:rFonts w:ascii="Arial" w:hAnsi="Arial" w:cs="Arial"/>
          <w:noProof/>
        </w:rPr>
        <w:drawing>
          <wp:inline distT="0" distB="0" distL="0" distR="0" wp14:anchorId="494DC495" wp14:editId="477B6F4E">
            <wp:extent cx="5690870" cy="2552131"/>
            <wp:effectExtent l="0" t="0" r="5080" b="6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52250" w:rsidRDefault="00152250"/>
    <w:p w:rsidR="00152250" w:rsidRDefault="00152250"/>
    <w:p w:rsidR="00AB78F2" w:rsidRPr="00AB78F2" w:rsidRDefault="00976746" w:rsidP="00976746">
      <w:pPr>
        <w:spacing w:line="260" w:lineRule="auto"/>
      </w:pPr>
      <w:r w:rsidRPr="00976746">
        <w:rPr>
          <w:b/>
          <w:bCs/>
          <w:lang w:val="cy-GB"/>
        </w:rPr>
        <w:t>Enghraifft Achos 1</w:t>
      </w:r>
    </w:p>
    <w:p w:rsidR="00AB78F2" w:rsidRDefault="00976746" w:rsidP="00976746">
      <w:pPr>
        <w:spacing w:line="260" w:lineRule="auto"/>
      </w:pPr>
      <w:r w:rsidRPr="00976746">
        <w:rPr>
          <w:lang w:val="cy-GB"/>
        </w:rPr>
        <w:t>Mae hon yn enghraifft dda iawn o ymgysylltu â thad.</w:t>
      </w:r>
      <w:r w:rsidR="00AB78F2" w:rsidRPr="00AB78F2">
        <w:t xml:space="preserve"> </w:t>
      </w:r>
      <w:r w:rsidRPr="00976746">
        <w:rPr>
          <w:lang w:val="cy-GB"/>
        </w:rPr>
        <w:t>Dad yw'r prif ofalwr ac mae gwasanaethau c</w:t>
      </w:r>
      <w:r w:rsidR="009977EC">
        <w:rPr>
          <w:lang w:val="cy-GB"/>
        </w:rPr>
        <w:t>efnogi</w:t>
      </w:r>
      <w:r w:rsidRPr="00976746">
        <w:rPr>
          <w:lang w:val="cy-GB"/>
        </w:rPr>
        <w:t xml:space="preserve"> wedi eu canolbwyntio ar dad.</w:t>
      </w:r>
      <w:r w:rsidR="00AB78F2" w:rsidRPr="00AB78F2">
        <w:t xml:space="preserve"> </w:t>
      </w:r>
      <w:r w:rsidRPr="00976746">
        <w:rPr>
          <w:lang w:val="cy-GB"/>
        </w:rPr>
        <w:t>Mae ymddygiad Mam yn destun pryder a</w:t>
      </w:r>
      <w:r w:rsidR="009977EC">
        <w:rPr>
          <w:lang w:val="cy-GB"/>
        </w:rPr>
        <w:t>c</w:t>
      </w:r>
      <w:r w:rsidRPr="00976746">
        <w:rPr>
          <w:lang w:val="cy-GB"/>
        </w:rPr>
        <w:t xml:space="preserve"> felly mae'r adran yn cefnogi dad gyda c</w:t>
      </w:r>
      <w:r w:rsidR="009977EC">
        <w:rPr>
          <w:lang w:val="cy-GB"/>
        </w:rPr>
        <w:t>h</w:t>
      </w:r>
      <w:r w:rsidRPr="00976746">
        <w:rPr>
          <w:lang w:val="cy-GB"/>
        </w:rPr>
        <w:t>yswllt.</w:t>
      </w:r>
      <w:r w:rsidR="00AB78F2" w:rsidRPr="00AB78F2">
        <w:t xml:space="preserve"> </w:t>
      </w:r>
      <w:r w:rsidRPr="00976746">
        <w:rPr>
          <w:lang w:val="cy-GB"/>
        </w:rPr>
        <w:t>Mae'r gweithiwr cymdeithasol wedi gwneud cryn dipyn o waith uniongyrchol gyda dad.</w:t>
      </w:r>
      <w:r w:rsidR="00AB78F2" w:rsidRPr="00AB78F2">
        <w:t xml:space="preserve"> </w:t>
      </w:r>
    </w:p>
    <w:p w:rsidR="00AB78F2" w:rsidRDefault="00AB78F2" w:rsidP="00AB78F2"/>
    <w:p w:rsidR="00AB78F2" w:rsidRPr="00AB78F2" w:rsidRDefault="00976746" w:rsidP="00976746">
      <w:pPr>
        <w:spacing w:line="260" w:lineRule="auto"/>
      </w:pPr>
      <w:r w:rsidRPr="00976746">
        <w:rPr>
          <w:b/>
          <w:bCs/>
          <w:lang w:val="cy-GB"/>
        </w:rPr>
        <w:t>Enghraifft Achos 2</w:t>
      </w:r>
    </w:p>
    <w:p w:rsidR="00AB78F2" w:rsidRPr="00AB78F2" w:rsidRDefault="00976746" w:rsidP="00BA5541">
      <w:pPr>
        <w:spacing w:line="260" w:lineRule="auto"/>
      </w:pPr>
      <w:r w:rsidRPr="00BA5541">
        <w:rPr>
          <w:lang w:val="cy-GB"/>
        </w:rPr>
        <w:t>Mae angen</w:t>
      </w:r>
      <w:r w:rsidR="00BA5541" w:rsidRPr="00BA5541">
        <w:rPr>
          <w:lang w:val="cy-GB"/>
        </w:rPr>
        <w:t xml:space="preserve"> i</w:t>
      </w:r>
      <w:r w:rsidRPr="00BA5541">
        <w:rPr>
          <w:lang w:val="cy-GB"/>
        </w:rPr>
        <w:t xml:space="preserve"> Mam adael y cartref am gyfnod</w:t>
      </w:r>
      <w:r w:rsidR="00BA5541" w:rsidRPr="00BA5541">
        <w:rPr>
          <w:lang w:val="cy-GB"/>
        </w:rPr>
        <w:t>, ac yn</w:t>
      </w:r>
      <w:r w:rsidRPr="00BA5541">
        <w:rPr>
          <w:lang w:val="cy-GB"/>
        </w:rPr>
        <w:t xml:space="preserve"> ystod y </w:t>
      </w:r>
      <w:r w:rsidR="00BA5541" w:rsidRPr="00BA5541">
        <w:rPr>
          <w:lang w:val="cy-GB"/>
        </w:rPr>
        <w:t>cyfnod hwnnw mae d</w:t>
      </w:r>
      <w:r w:rsidRPr="00BA5541">
        <w:rPr>
          <w:lang w:val="cy-GB"/>
        </w:rPr>
        <w:t>ad yn gwneud newidiadau cadarnhaol a</w:t>
      </w:r>
      <w:r w:rsidR="00BA5541" w:rsidRPr="00BA5541">
        <w:rPr>
          <w:lang w:val="cy-GB"/>
        </w:rPr>
        <w:t>c mae</w:t>
      </w:r>
      <w:r w:rsidRPr="00BA5541">
        <w:rPr>
          <w:lang w:val="cy-GB"/>
        </w:rPr>
        <w:t>'r plentyn yn "</w:t>
      </w:r>
      <w:r w:rsidR="00BA5541" w:rsidRPr="00BA5541">
        <w:rPr>
          <w:lang w:val="cy-GB"/>
        </w:rPr>
        <w:t>ymddangos ei fod yn</w:t>
      </w:r>
      <w:r w:rsidRPr="00BA5541">
        <w:rPr>
          <w:lang w:val="cy-GB"/>
        </w:rPr>
        <w:t xml:space="preserve"> </w:t>
      </w:r>
      <w:r w:rsidR="00BA5541" w:rsidRPr="00BA5541">
        <w:rPr>
          <w:lang w:val="cy-GB"/>
        </w:rPr>
        <w:t>b</w:t>
      </w:r>
      <w:r w:rsidRPr="00BA5541">
        <w:rPr>
          <w:lang w:val="cy-GB"/>
        </w:rPr>
        <w:t>erson ifanc llawer hapusach sy</w:t>
      </w:r>
      <w:r w:rsidR="00BA5541" w:rsidRPr="00BA5541">
        <w:rPr>
          <w:lang w:val="cy-GB"/>
        </w:rPr>
        <w:t>’</w:t>
      </w:r>
      <w:r w:rsidRPr="00BA5541">
        <w:rPr>
          <w:lang w:val="cy-GB"/>
        </w:rPr>
        <w:t>n datblygu ymdeimlad o hunaniaeth ac annibyniaeth.</w:t>
      </w:r>
      <w:r w:rsidR="00BA5541" w:rsidRPr="00BA5541">
        <w:rPr>
          <w:lang w:val="cy-GB"/>
        </w:rPr>
        <w:t>”</w:t>
      </w:r>
      <w:r w:rsidR="00AB78F2" w:rsidRPr="00AB78F2">
        <w:t xml:space="preserve">  </w:t>
      </w:r>
      <w:r w:rsidR="00BA5541" w:rsidRPr="00BA5541">
        <w:rPr>
          <w:lang w:val="cy-GB"/>
        </w:rPr>
        <w:t>Nodir bod y tad wedi dod yn fwy rhagweithiol a phendant yn sgil bod yn gyfrifol am reoli’r cartref.</w:t>
      </w:r>
      <w:r w:rsidR="00AB78F2" w:rsidRPr="00AB78F2">
        <w:t xml:space="preserve"> </w:t>
      </w:r>
    </w:p>
    <w:p w:rsidR="00AB78F2" w:rsidRPr="00AB78F2" w:rsidRDefault="00AB78F2" w:rsidP="00AB78F2"/>
    <w:p w:rsidR="00152250" w:rsidRDefault="00152250"/>
    <w:sectPr w:rsidR="00152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50"/>
    <w:rsid w:val="00005767"/>
    <w:rsid w:val="000168D7"/>
    <w:rsid w:val="00025D3C"/>
    <w:rsid w:val="00026185"/>
    <w:rsid w:val="00037F13"/>
    <w:rsid w:val="0004285F"/>
    <w:rsid w:val="00053454"/>
    <w:rsid w:val="000552AF"/>
    <w:rsid w:val="000765B1"/>
    <w:rsid w:val="00085CEB"/>
    <w:rsid w:val="00097E53"/>
    <w:rsid w:val="000A04AF"/>
    <w:rsid w:val="000A0D3E"/>
    <w:rsid w:val="000D1B9F"/>
    <w:rsid w:val="000D40B5"/>
    <w:rsid w:val="000D6634"/>
    <w:rsid w:val="000F721F"/>
    <w:rsid w:val="000F7B05"/>
    <w:rsid w:val="0010093C"/>
    <w:rsid w:val="00152250"/>
    <w:rsid w:val="0015471C"/>
    <w:rsid w:val="00157F7F"/>
    <w:rsid w:val="00157FE2"/>
    <w:rsid w:val="0017654D"/>
    <w:rsid w:val="00180D9B"/>
    <w:rsid w:val="001830F8"/>
    <w:rsid w:val="001864FA"/>
    <w:rsid w:val="001875B8"/>
    <w:rsid w:val="001B1EAF"/>
    <w:rsid w:val="001C0202"/>
    <w:rsid w:val="001D7CBD"/>
    <w:rsid w:val="001F2271"/>
    <w:rsid w:val="001F3059"/>
    <w:rsid w:val="0020220C"/>
    <w:rsid w:val="00203E2C"/>
    <w:rsid w:val="0020673E"/>
    <w:rsid w:val="00214AA8"/>
    <w:rsid w:val="002263AF"/>
    <w:rsid w:val="0022771C"/>
    <w:rsid w:val="00241EAA"/>
    <w:rsid w:val="002538DB"/>
    <w:rsid w:val="00261315"/>
    <w:rsid w:val="002741B2"/>
    <w:rsid w:val="00290FDA"/>
    <w:rsid w:val="00295CD8"/>
    <w:rsid w:val="002A1D47"/>
    <w:rsid w:val="002A56F5"/>
    <w:rsid w:val="002A7FE6"/>
    <w:rsid w:val="002C14BF"/>
    <w:rsid w:val="002D342E"/>
    <w:rsid w:val="002D65D3"/>
    <w:rsid w:val="00302F0B"/>
    <w:rsid w:val="00335A5C"/>
    <w:rsid w:val="003372D3"/>
    <w:rsid w:val="003451F7"/>
    <w:rsid w:val="003469AD"/>
    <w:rsid w:val="00366920"/>
    <w:rsid w:val="00382688"/>
    <w:rsid w:val="00382EDB"/>
    <w:rsid w:val="00397744"/>
    <w:rsid w:val="003B564D"/>
    <w:rsid w:val="003D6A4F"/>
    <w:rsid w:val="003F5B4B"/>
    <w:rsid w:val="003F619F"/>
    <w:rsid w:val="003F7F6F"/>
    <w:rsid w:val="00402D97"/>
    <w:rsid w:val="00437062"/>
    <w:rsid w:val="00437702"/>
    <w:rsid w:val="00440E29"/>
    <w:rsid w:val="00450DFA"/>
    <w:rsid w:val="00461BFC"/>
    <w:rsid w:val="004623C1"/>
    <w:rsid w:val="00470433"/>
    <w:rsid w:val="0049181D"/>
    <w:rsid w:val="0049232D"/>
    <w:rsid w:val="00497244"/>
    <w:rsid w:val="004A7C5F"/>
    <w:rsid w:val="004B3147"/>
    <w:rsid w:val="004B4BEC"/>
    <w:rsid w:val="004C6B92"/>
    <w:rsid w:val="004D513D"/>
    <w:rsid w:val="004D5762"/>
    <w:rsid w:val="004D7E20"/>
    <w:rsid w:val="004E2338"/>
    <w:rsid w:val="004E2B92"/>
    <w:rsid w:val="004F17CC"/>
    <w:rsid w:val="005127A9"/>
    <w:rsid w:val="00517466"/>
    <w:rsid w:val="0052155A"/>
    <w:rsid w:val="005342AD"/>
    <w:rsid w:val="00553DD2"/>
    <w:rsid w:val="005555BC"/>
    <w:rsid w:val="00555F0E"/>
    <w:rsid w:val="0055722F"/>
    <w:rsid w:val="00576BB6"/>
    <w:rsid w:val="00577512"/>
    <w:rsid w:val="0058624C"/>
    <w:rsid w:val="005A27DA"/>
    <w:rsid w:val="005A400E"/>
    <w:rsid w:val="005A67F9"/>
    <w:rsid w:val="005B421A"/>
    <w:rsid w:val="005B5BEA"/>
    <w:rsid w:val="005E7AB0"/>
    <w:rsid w:val="005F0B1A"/>
    <w:rsid w:val="005F1107"/>
    <w:rsid w:val="0060532E"/>
    <w:rsid w:val="0060750E"/>
    <w:rsid w:val="006134BE"/>
    <w:rsid w:val="006237E2"/>
    <w:rsid w:val="006645C2"/>
    <w:rsid w:val="006721D8"/>
    <w:rsid w:val="00672B4F"/>
    <w:rsid w:val="006736AC"/>
    <w:rsid w:val="006825C8"/>
    <w:rsid w:val="006874C4"/>
    <w:rsid w:val="006B1414"/>
    <w:rsid w:val="006C04EB"/>
    <w:rsid w:val="006C0699"/>
    <w:rsid w:val="006C6F57"/>
    <w:rsid w:val="006E3846"/>
    <w:rsid w:val="007041C8"/>
    <w:rsid w:val="007121BE"/>
    <w:rsid w:val="0071233E"/>
    <w:rsid w:val="00741582"/>
    <w:rsid w:val="00741B88"/>
    <w:rsid w:val="007564DD"/>
    <w:rsid w:val="007655AF"/>
    <w:rsid w:val="00765907"/>
    <w:rsid w:val="00773EDC"/>
    <w:rsid w:val="007743FB"/>
    <w:rsid w:val="0077619D"/>
    <w:rsid w:val="007848EF"/>
    <w:rsid w:val="007856A5"/>
    <w:rsid w:val="007A289D"/>
    <w:rsid w:val="007B4681"/>
    <w:rsid w:val="007C5C05"/>
    <w:rsid w:val="007E038F"/>
    <w:rsid w:val="007F0DD5"/>
    <w:rsid w:val="007F2FB4"/>
    <w:rsid w:val="008030EB"/>
    <w:rsid w:val="00826688"/>
    <w:rsid w:val="0083358E"/>
    <w:rsid w:val="008362EC"/>
    <w:rsid w:val="00837F70"/>
    <w:rsid w:val="0084315E"/>
    <w:rsid w:val="008436B8"/>
    <w:rsid w:val="00853814"/>
    <w:rsid w:val="00865452"/>
    <w:rsid w:val="00876A2E"/>
    <w:rsid w:val="008829B2"/>
    <w:rsid w:val="008852F6"/>
    <w:rsid w:val="008B1191"/>
    <w:rsid w:val="008B6515"/>
    <w:rsid w:val="008E000B"/>
    <w:rsid w:val="00924588"/>
    <w:rsid w:val="00933405"/>
    <w:rsid w:val="00941B61"/>
    <w:rsid w:val="00955264"/>
    <w:rsid w:val="00962E43"/>
    <w:rsid w:val="00976746"/>
    <w:rsid w:val="00994072"/>
    <w:rsid w:val="0099450C"/>
    <w:rsid w:val="009977EC"/>
    <w:rsid w:val="009A22AD"/>
    <w:rsid w:val="009A3DFE"/>
    <w:rsid w:val="009A3E21"/>
    <w:rsid w:val="009B1B37"/>
    <w:rsid w:val="009B1D1B"/>
    <w:rsid w:val="009B7202"/>
    <w:rsid w:val="009C0537"/>
    <w:rsid w:val="009E3586"/>
    <w:rsid w:val="009F5123"/>
    <w:rsid w:val="009F6033"/>
    <w:rsid w:val="00A16DA5"/>
    <w:rsid w:val="00A52972"/>
    <w:rsid w:val="00A62AB1"/>
    <w:rsid w:val="00A90DD5"/>
    <w:rsid w:val="00A9480E"/>
    <w:rsid w:val="00AB78F2"/>
    <w:rsid w:val="00AC5333"/>
    <w:rsid w:val="00B03447"/>
    <w:rsid w:val="00B06432"/>
    <w:rsid w:val="00B1357A"/>
    <w:rsid w:val="00B20ECA"/>
    <w:rsid w:val="00B24922"/>
    <w:rsid w:val="00B32C5F"/>
    <w:rsid w:val="00B32CAA"/>
    <w:rsid w:val="00B32F4B"/>
    <w:rsid w:val="00B53949"/>
    <w:rsid w:val="00B60913"/>
    <w:rsid w:val="00B62691"/>
    <w:rsid w:val="00B6776D"/>
    <w:rsid w:val="00B71A6F"/>
    <w:rsid w:val="00BA4185"/>
    <w:rsid w:val="00BA5541"/>
    <w:rsid w:val="00BD1E64"/>
    <w:rsid w:val="00BE43A9"/>
    <w:rsid w:val="00BE6928"/>
    <w:rsid w:val="00BE702B"/>
    <w:rsid w:val="00BF2776"/>
    <w:rsid w:val="00BF490D"/>
    <w:rsid w:val="00BF7E82"/>
    <w:rsid w:val="00C1487C"/>
    <w:rsid w:val="00C16D3B"/>
    <w:rsid w:val="00C2083A"/>
    <w:rsid w:val="00C41430"/>
    <w:rsid w:val="00C66825"/>
    <w:rsid w:val="00C812A9"/>
    <w:rsid w:val="00C82951"/>
    <w:rsid w:val="00C83443"/>
    <w:rsid w:val="00C9607E"/>
    <w:rsid w:val="00CA5D9A"/>
    <w:rsid w:val="00CC2479"/>
    <w:rsid w:val="00CC24B8"/>
    <w:rsid w:val="00CC3212"/>
    <w:rsid w:val="00CE09F1"/>
    <w:rsid w:val="00CE1105"/>
    <w:rsid w:val="00CF2769"/>
    <w:rsid w:val="00CF2B4F"/>
    <w:rsid w:val="00CF3417"/>
    <w:rsid w:val="00CF3667"/>
    <w:rsid w:val="00D04989"/>
    <w:rsid w:val="00D11F7B"/>
    <w:rsid w:val="00D17D86"/>
    <w:rsid w:val="00D221F9"/>
    <w:rsid w:val="00D34657"/>
    <w:rsid w:val="00D36808"/>
    <w:rsid w:val="00D464D4"/>
    <w:rsid w:val="00D6112D"/>
    <w:rsid w:val="00D61CB4"/>
    <w:rsid w:val="00D61D8F"/>
    <w:rsid w:val="00D76AD7"/>
    <w:rsid w:val="00D77B86"/>
    <w:rsid w:val="00D85F9E"/>
    <w:rsid w:val="00D90984"/>
    <w:rsid w:val="00DA0E04"/>
    <w:rsid w:val="00DA6394"/>
    <w:rsid w:val="00DC35FC"/>
    <w:rsid w:val="00DC3F05"/>
    <w:rsid w:val="00DD584E"/>
    <w:rsid w:val="00DE7B39"/>
    <w:rsid w:val="00DF1EC8"/>
    <w:rsid w:val="00DF6D77"/>
    <w:rsid w:val="00E12668"/>
    <w:rsid w:val="00E26B3C"/>
    <w:rsid w:val="00E335AE"/>
    <w:rsid w:val="00E36BB0"/>
    <w:rsid w:val="00E5003F"/>
    <w:rsid w:val="00E50703"/>
    <w:rsid w:val="00E60128"/>
    <w:rsid w:val="00E7153F"/>
    <w:rsid w:val="00EA6ECF"/>
    <w:rsid w:val="00EB04A3"/>
    <w:rsid w:val="00EC5C54"/>
    <w:rsid w:val="00ED1FD9"/>
    <w:rsid w:val="00ED323A"/>
    <w:rsid w:val="00EE5F8B"/>
    <w:rsid w:val="00EF4B9D"/>
    <w:rsid w:val="00EF735E"/>
    <w:rsid w:val="00EF79EF"/>
    <w:rsid w:val="00F171E4"/>
    <w:rsid w:val="00F27D33"/>
    <w:rsid w:val="00F37663"/>
    <w:rsid w:val="00F4150B"/>
    <w:rsid w:val="00F45A6D"/>
    <w:rsid w:val="00F5626F"/>
    <w:rsid w:val="00F70EDF"/>
    <w:rsid w:val="00F86139"/>
    <w:rsid w:val="00F93188"/>
    <w:rsid w:val="00FA3882"/>
    <w:rsid w:val="00FA49EA"/>
    <w:rsid w:val="00FB11F4"/>
    <w:rsid w:val="00FC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5B4D0-1426-4BDF-8121-6CF7642B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22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Archwiliad 1</c:v>
                </c:pt>
              </c:strCache>
            </c:strRef>
          </c:tx>
          <c:marker>
            <c:symbol val="none"/>
          </c:marker>
          <c:cat>
            <c:strRef>
              <c:f>Sheet1!$A$2:$A$16</c:f>
              <c:strCache>
                <c:ptCount val="14"/>
                <c:pt idx="0">
                  <c:v>Enwyd</c:v>
                </c:pt>
                <c:pt idx="1">
                  <c:v>Cyfeiriad</c:v>
                </c:pt>
                <c:pt idx="2">
                  <c:v>Ffôn</c:v>
                </c:pt>
                <c:pt idx="3">
                  <c:v>CA</c:v>
                </c:pt>
                <c:pt idx="4">
                  <c:v>Gwahoddwyd i ICC</c:v>
                </c:pt>
                <c:pt idx="5">
                  <c:v>Cyfranogiad</c:v>
                </c:pt>
                <c:pt idx="6">
                  <c:v>Risg</c:v>
                </c:pt>
                <c:pt idx="7">
                  <c:v>Cryfderau</c:v>
                </c:pt>
                <c:pt idx="8">
                  <c:v>% Cefnogaeth i dadau o'i gymharu â mamau</c:v>
                </c:pt>
                <c:pt idx="9">
                  <c:v>Gwahoddwyd i RCC</c:v>
                </c:pt>
                <c:pt idx="10">
                  <c:v>Cyfranogiad</c:v>
                </c:pt>
                <c:pt idx="11">
                  <c:v>Risg</c:v>
                </c:pt>
                <c:pt idx="12">
                  <c:v>Cryfderau</c:v>
                </c:pt>
                <c:pt idx="13">
                  <c:v>% Cefnogaeth i dadau o'i gymharu â mamau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4"/>
                <c:pt idx="0">
                  <c:v>76</c:v>
                </c:pt>
                <c:pt idx="1">
                  <c:v>62</c:v>
                </c:pt>
                <c:pt idx="2">
                  <c:v>52</c:v>
                </c:pt>
                <c:pt idx="3">
                  <c:v>47</c:v>
                </c:pt>
                <c:pt idx="4">
                  <c:v>72</c:v>
                </c:pt>
                <c:pt idx="5">
                  <c:v>78</c:v>
                </c:pt>
                <c:pt idx="6">
                  <c:v>61</c:v>
                </c:pt>
                <c:pt idx="7">
                  <c:v>44</c:v>
                </c:pt>
                <c:pt idx="8">
                  <c:v>46</c:v>
                </c:pt>
                <c:pt idx="9">
                  <c:v>58</c:v>
                </c:pt>
                <c:pt idx="10">
                  <c:v>67</c:v>
                </c:pt>
                <c:pt idx="11">
                  <c:v>55</c:v>
                </c:pt>
                <c:pt idx="12">
                  <c:v>50</c:v>
                </c:pt>
                <c:pt idx="13">
                  <c:v>42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Archwiliad 2</c:v>
                </c:pt>
              </c:strCache>
            </c:strRef>
          </c:tx>
          <c:marker>
            <c:symbol val="none"/>
          </c:marker>
          <c:cat>
            <c:strRef>
              <c:f>Sheet1!$A$2:$A$16</c:f>
              <c:strCache>
                <c:ptCount val="14"/>
                <c:pt idx="0">
                  <c:v>Enwyd</c:v>
                </c:pt>
                <c:pt idx="1">
                  <c:v>Cyfeiriad</c:v>
                </c:pt>
                <c:pt idx="2">
                  <c:v>Ffôn</c:v>
                </c:pt>
                <c:pt idx="3">
                  <c:v>CA</c:v>
                </c:pt>
                <c:pt idx="4">
                  <c:v>Gwahoddwyd i ICC</c:v>
                </c:pt>
                <c:pt idx="5">
                  <c:v>Cyfranogiad</c:v>
                </c:pt>
                <c:pt idx="6">
                  <c:v>Risg</c:v>
                </c:pt>
                <c:pt idx="7">
                  <c:v>Cryfderau</c:v>
                </c:pt>
                <c:pt idx="8">
                  <c:v>% Cefnogaeth i dadau o'i gymharu â mamau</c:v>
                </c:pt>
                <c:pt idx="9">
                  <c:v>Gwahoddwyd i RCC</c:v>
                </c:pt>
                <c:pt idx="10">
                  <c:v>Cyfranogiad</c:v>
                </c:pt>
                <c:pt idx="11">
                  <c:v>Risg</c:v>
                </c:pt>
                <c:pt idx="12">
                  <c:v>Cryfderau</c:v>
                </c:pt>
                <c:pt idx="13">
                  <c:v>% Cefnogaeth i dadau o'i gymharu â mamau</c:v>
                </c:pt>
              </c:strCache>
            </c:strRef>
          </c:cat>
          <c:val>
            <c:numRef>
              <c:f>Sheet1!$C$2:$C$16</c:f>
              <c:numCache>
                <c:formatCode>General</c:formatCode>
                <c:ptCount val="14"/>
                <c:pt idx="0">
                  <c:v>96</c:v>
                </c:pt>
                <c:pt idx="1">
                  <c:v>86</c:v>
                </c:pt>
                <c:pt idx="2">
                  <c:v>81</c:v>
                </c:pt>
                <c:pt idx="3">
                  <c:v>82</c:v>
                </c:pt>
                <c:pt idx="4">
                  <c:v>90</c:v>
                </c:pt>
                <c:pt idx="5">
                  <c:v>100</c:v>
                </c:pt>
                <c:pt idx="6">
                  <c:v>84</c:v>
                </c:pt>
                <c:pt idx="7">
                  <c:v>89</c:v>
                </c:pt>
                <c:pt idx="8">
                  <c:v>84</c:v>
                </c:pt>
                <c:pt idx="9">
                  <c:v>81</c:v>
                </c:pt>
                <c:pt idx="10">
                  <c:v>95</c:v>
                </c:pt>
                <c:pt idx="11">
                  <c:v>95</c:v>
                </c:pt>
                <c:pt idx="12">
                  <c:v>89</c:v>
                </c:pt>
                <c:pt idx="13">
                  <c:v>83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Cyfartaledd</c:v>
                </c:pt>
              </c:strCache>
            </c:strRef>
          </c:tx>
          <c:marker>
            <c:symbol val="none"/>
          </c:marker>
          <c:cat>
            <c:strRef>
              <c:f>Sheet1!$A$2:$A$16</c:f>
              <c:strCache>
                <c:ptCount val="14"/>
                <c:pt idx="0">
                  <c:v>Enwyd</c:v>
                </c:pt>
                <c:pt idx="1">
                  <c:v>Cyfeiriad</c:v>
                </c:pt>
                <c:pt idx="2">
                  <c:v>Ffôn</c:v>
                </c:pt>
                <c:pt idx="3">
                  <c:v>CA</c:v>
                </c:pt>
                <c:pt idx="4">
                  <c:v>Gwahoddwyd i ICC</c:v>
                </c:pt>
                <c:pt idx="5">
                  <c:v>Cyfranogiad</c:v>
                </c:pt>
                <c:pt idx="6">
                  <c:v>Risg</c:v>
                </c:pt>
                <c:pt idx="7">
                  <c:v>Cryfderau</c:v>
                </c:pt>
                <c:pt idx="8">
                  <c:v>% Cefnogaeth i dadau o'i gymharu â mamau</c:v>
                </c:pt>
                <c:pt idx="9">
                  <c:v>Gwahoddwyd i RCC</c:v>
                </c:pt>
                <c:pt idx="10">
                  <c:v>Cyfranogiad</c:v>
                </c:pt>
                <c:pt idx="11">
                  <c:v>Risg</c:v>
                </c:pt>
                <c:pt idx="12">
                  <c:v>Cryfderau</c:v>
                </c:pt>
                <c:pt idx="13">
                  <c:v>% Cefnogaeth i dadau o'i gymharu â mamau</c:v>
                </c:pt>
              </c:strCache>
            </c:strRef>
          </c:cat>
          <c:val>
            <c:numRef>
              <c:f>Sheet1!$D$2:$D$16</c:f>
              <c:numCache>
                <c:formatCode>General</c:formatCode>
                <c:ptCount val="14"/>
                <c:pt idx="0">
                  <c:v>92</c:v>
                </c:pt>
                <c:pt idx="1">
                  <c:v>79</c:v>
                </c:pt>
                <c:pt idx="2">
                  <c:v>62</c:v>
                </c:pt>
                <c:pt idx="3">
                  <c:v>48</c:v>
                </c:pt>
                <c:pt idx="4">
                  <c:v>60</c:v>
                </c:pt>
                <c:pt idx="5">
                  <c:v>76</c:v>
                </c:pt>
                <c:pt idx="6">
                  <c:v>70</c:v>
                </c:pt>
                <c:pt idx="7">
                  <c:v>38</c:v>
                </c:pt>
                <c:pt idx="8">
                  <c:v>53</c:v>
                </c:pt>
                <c:pt idx="9">
                  <c:v>58</c:v>
                </c:pt>
                <c:pt idx="10">
                  <c:v>64</c:v>
                </c:pt>
                <c:pt idx="11">
                  <c:v>64</c:v>
                </c:pt>
                <c:pt idx="12">
                  <c:v>42</c:v>
                </c:pt>
                <c:pt idx="13">
                  <c:v>54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1700824"/>
        <c:axId val="301041768"/>
      </c:lineChart>
      <c:catAx>
        <c:axId val="371700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200"/>
            </a:pPr>
            <a:endParaRPr lang="en-US"/>
          </a:p>
        </c:txPr>
        <c:crossAx val="301041768"/>
        <c:crosses val="autoZero"/>
        <c:auto val="0"/>
        <c:lblAlgn val="ctr"/>
        <c:lblOffset val="100"/>
        <c:noMultiLvlLbl val="0"/>
      </c:catAx>
      <c:valAx>
        <c:axId val="301041768"/>
        <c:scaling>
          <c:orientation val="minMax"/>
          <c:max val="100"/>
          <c:min val="0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371700824"/>
        <c:crosses val="autoZero"/>
        <c:crossBetween val="between"/>
      </c:valAx>
    </c:plotArea>
    <c:legend>
      <c:legendPos val="r"/>
      <c:layout/>
      <c:overlay val="0"/>
    </c:legend>
    <c:plotVisOnly val="1"/>
    <c:dispBlanksAs val="zero"/>
    <c:showDLblsOverMax val="0"/>
  </c:chart>
  <c:txPr>
    <a:bodyPr/>
    <a:lstStyle/>
    <a:p>
      <a:pPr>
        <a:defRPr sz="1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1353</Characters>
  <Application>Microsoft Office Word</Application>
  <DocSecurity>0</DocSecurity>
  <Lines>64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Lewis</dc:creator>
  <cp:keywords/>
  <dc:description/>
  <cp:lastModifiedBy>Iwan Siôn Gareth (Cyfieithydd/Translator)</cp:lastModifiedBy>
  <cp:revision>3</cp:revision>
  <dcterms:created xsi:type="dcterms:W3CDTF">2015-08-03T14:56:00Z</dcterms:created>
  <dcterms:modified xsi:type="dcterms:W3CDTF">2015-08-03T14:57:00Z</dcterms:modified>
</cp:coreProperties>
</file>