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4F" w:rsidRDefault="00CF2B4F">
      <w:bookmarkStart w:id="0" w:name="_GoBack"/>
      <w:bookmarkEnd w:id="0"/>
    </w:p>
    <w:p w:rsidR="00152250" w:rsidRDefault="00152250" w:rsidP="00152250">
      <w:pPr>
        <w:pStyle w:val="ListParagraph"/>
        <w:spacing w:after="0" w:line="240" w:lineRule="auto"/>
        <w:ind w:left="0"/>
        <w:jc w:val="both"/>
        <w:rPr>
          <w:rFonts w:ascii="Arial" w:hAnsi="Arial" w:cs="Arial"/>
          <w:b/>
          <w:u w:val="single"/>
        </w:rPr>
      </w:pPr>
      <w:r>
        <w:rPr>
          <w:rFonts w:ascii="Arial" w:hAnsi="Arial" w:cs="Arial"/>
          <w:b/>
          <w:u w:val="single"/>
        </w:rPr>
        <w:t xml:space="preserve">Engaging Fathers in Safeguarding – </w:t>
      </w:r>
    </w:p>
    <w:p w:rsidR="00152250" w:rsidRDefault="00152250" w:rsidP="00152250">
      <w:pPr>
        <w:pStyle w:val="ListParagraph"/>
        <w:spacing w:after="0" w:line="240" w:lineRule="auto"/>
        <w:ind w:left="0"/>
        <w:jc w:val="both"/>
        <w:rPr>
          <w:rFonts w:ascii="Arial" w:hAnsi="Arial" w:cs="Arial"/>
          <w:b/>
          <w:u w:val="single"/>
        </w:rPr>
      </w:pPr>
    </w:p>
    <w:p w:rsidR="00152250" w:rsidRDefault="00152250" w:rsidP="00152250">
      <w:pPr>
        <w:pStyle w:val="ListParagraph"/>
        <w:spacing w:after="0" w:line="240" w:lineRule="auto"/>
        <w:ind w:left="0"/>
        <w:jc w:val="both"/>
        <w:rPr>
          <w:rFonts w:ascii="Arial" w:hAnsi="Arial" w:cs="Arial"/>
          <w:b/>
          <w:u w:val="single"/>
        </w:rPr>
      </w:pPr>
    </w:p>
    <w:p w:rsidR="00152250" w:rsidRDefault="00152250" w:rsidP="00152250">
      <w:pPr>
        <w:pStyle w:val="ListParagraph"/>
        <w:spacing w:after="0" w:line="240" w:lineRule="auto"/>
        <w:ind w:left="0"/>
        <w:jc w:val="both"/>
        <w:rPr>
          <w:rFonts w:ascii="Arial" w:hAnsi="Arial" w:cs="Arial"/>
        </w:rPr>
      </w:pPr>
      <w:r>
        <w:rPr>
          <w:rFonts w:ascii="Arial" w:hAnsi="Arial" w:cs="Arial"/>
        </w:rPr>
        <w:t>Children, Family and Safeguarding Services within Conwy worked in partnership with the Fatherhood Institute to evaluate practice within the department around how effectively we engage with Fathers/ Male carers within the Child Protection process.</w:t>
      </w:r>
      <w:r w:rsidRPr="00545741">
        <w:rPr>
          <w:rFonts w:ascii="Arial" w:hAnsi="Arial" w:cs="Arial"/>
        </w:rPr>
        <w:t xml:space="preserve"> The overall goal of this project is to reduce levels of ris</w:t>
      </w:r>
      <w:r>
        <w:rPr>
          <w:rFonts w:ascii="Arial" w:hAnsi="Arial" w:cs="Arial"/>
        </w:rPr>
        <w:t>k and raise levels of care for C</w:t>
      </w:r>
      <w:r w:rsidRPr="00545741">
        <w:rPr>
          <w:rFonts w:ascii="Arial" w:hAnsi="Arial" w:cs="Arial"/>
        </w:rPr>
        <w:t>hildren where there are safeguarding</w:t>
      </w:r>
      <w:r>
        <w:rPr>
          <w:rFonts w:ascii="Arial" w:hAnsi="Arial" w:cs="Arial"/>
        </w:rPr>
        <w:t>/ parenting</w:t>
      </w:r>
      <w:r w:rsidRPr="00545741">
        <w:rPr>
          <w:rFonts w:ascii="Arial" w:hAnsi="Arial" w:cs="Arial"/>
        </w:rPr>
        <w:t xml:space="preserve"> concerns through the development of improved working pr</w:t>
      </w:r>
      <w:r>
        <w:rPr>
          <w:rFonts w:ascii="Arial" w:hAnsi="Arial" w:cs="Arial"/>
        </w:rPr>
        <w:t xml:space="preserve">actices of Social Care Services and Partner Agencies by more effective engagement with Fathers. </w:t>
      </w:r>
    </w:p>
    <w:p w:rsidR="00152250" w:rsidRDefault="00152250" w:rsidP="00152250">
      <w:pPr>
        <w:pStyle w:val="ListParagraph"/>
        <w:spacing w:after="0" w:line="240" w:lineRule="auto"/>
        <w:ind w:left="0"/>
        <w:jc w:val="both"/>
        <w:rPr>
          <w:rFonts w:ascii="Arial" w:hAnsi="Arial" w:cs="Arial"/>
        </w:rPr>
      </w:pPr>
    </w:p>
    <w:p w:rsidR="00152250" w:rsidRDefault="00152250" w:rsidP="00152250">
      <w:pPr>
        <w:pStyle w:val="ListParagraph"/>
        <w:spacing w:after="0" w:line="240" w:lineRule="auto"/>
        <w:ind w:left="0"/>
        <w:jc w:val="both"/>
        <w:rPr>
          <w:rFonts w:ascii="Arial" w:hAnsi="Arial" w:cs="Arial"/>
        </w:rPr>
      </w:pPr>
      <w:r>
        <w:rPr>
          <w:rFonts w:ascii="Arial" w:hAnsi="Arial" w:cs="Arial"/>
        </w:rPr>
        <w:t xml:space="preserve">Over the last 12 months, the Local Authority have developed its own internal action plan and provided training to Multi-Agency practitioners around effective engagement with Fathers. The most recent audit identified significant improvements in practice around engagement with Fathers and was also able to demonstrate improved outcomes for Children and Young People. </w:t>
      </w:r>
    </w:p>
    <w:p w:rsidR="00AB78F2" w:rsidRDefault="00AB78F2" w:rsidP="00152250">
      <w:pPr>
        <w:pStyle w:val="ListParagraph"/>
        <w:spacing w:after="0" w:line="240" w:lineRule="auto"/>
        <w:ind w:left="0"/>
        <w:jc w:val="both"/>
        <w:rPr>
          <w:rFonts w:ascii="Arial" w:hAnsi="Arial" w:cs="Arial"/>
        </w:rPr>
      </w:pPr>
    </w:p>
    <w:p w:rsidR="00AB78F2" w:rsidRPr="009A03E1" w:rsidRDefault="00AB78F2" w:rsidP="00152250">
      <w:pPr>
        <w:pStyle w:val="ListParagraph"/>
        <w:spacing w:after="0" w:line="240" w:lineRule="auto"/>
        <w:ind w:left="0"/>
        <w:jc w:val="both"/>
        <w:rPr>
          <w:rFonts w:ascii="Arial" w:hAnsi="Arial" w:cs="Arial"/>
        </w:rPr>
      </w:pPr>
      <w:r w:rsidRPr="00AB78F2">
        <w:rPr>
          <w:rFonts w:ascii="Arial" w:hAnsi="Arial" w:cs="Arial"/>
          <w:noProof/>
        </w:rPr>
        <w:drawing>
          <wp:inline distT="0" distB="0" distL="0" distR="0" wp14:anchorId="494DC495" wp14:editId="477B6F4E">
            <wp:extent cx="5690870" cy="2552131"/>
            <wp:effectExtent l="0" t="0" r="508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52250" w:rsidRDefault="00152250"/>
    <w:p w:rsidR="00152250" w:rsidRDefault="00152250"/>
    <w:p w:rsidR="00AB78F2" w:rsidRPr="00AB78F2" w:rsidRDefault="00AB78F2" w:rsidP="00AB78F2">
      <w:r w:rsidRPr="00AB78F2">
        <w:rPr>
          <w:b/>
          <w:bCs/>
        </w:rPr>
        <w:t>Case Example 1</w:t>
      </w:r>
    </w:p>
    <w:p w:rsidR="00AB78F2" w:rsidRDefault="00AB78F2" w:rsidP="00AB78F2">
      <w:r w:rsidRPr="00AB78F2">
        <w:t xml:space="preserve">This is a very good example of engagement with dad. Dad is the main carer and the focus of support services have been around dad. Mother's behaviour is a source of concern and so the department is supporting dad with contact. The social worker has done a significant amount of direct work with dad. </w:t>
      </w:r>
    </w:p>
    <w:p w:rsidR="00AB78F2" w:rsidRDefault="00AB78F2" w:rsidP="00AB78F2"/>
    <w:p w:rsidR="00AB78F2" w:rsidRPr="00AB78F2" w:rsidRDefault="00AB78F2" w:rsidP="00AB78F2">
      <w:r w:rsidRPr="00AB78F2">
        <w:rPr>
          <w:b/>
          <w:bCs/>
        </w:rPr>
        <w:t>Case Example 2</w:t>
      </w:r>
    </w:p>
    <w:p w:rsidR="00AB78F2" w:rsidRPr="00AB78F2" w:rsidRDefault="00AB78F2" w:rsidP="00AB78F2">
      <w:r w:rsidRPr="00AB78F2">
        <w:t xml:space="preserve">Mother is required to leave the household for a period during which time father makes positive changes and the child is "presenting as a much happier young person who is developing a sense of identity and independence."  It is noted that the father has become more proactive and assertive as a result of being responsible for managing the household. </w:t>
      </w:r>
    </w:p>
    <w:p w:rsidR="00AB78F2" w:rsidRPr="00AB78F2" w:rsidRDefault="00AB78F2" w:rsidP="00AB78F2"/>
    <w:p w:rsidR="00152250" w:rsidRDefault="00152250"/>
    <w:sectPr w:rsidR="00152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50"/>
    <w:rsid w:val="00005767"/>
    <w:rsid w:val="000168D7"/>
    <w:rsid w:val="00025D3C"/>
    <w:rsid w:val="00026185"/>
    <w:rsid w:val="00037F13"/>
    <w:rsid w:val="0004285F"/>
    <w:rsid w:val="00053454"/>
    <w:rsid w:val="000552AF"/>
    <w:rsid w:val="000765B1"/>
    <w:rsid w:val="00085CEB"/>
    <w:rsid w:val="00097E53"/>
    <w:rsid w:val="000A04AF"/>
    <w:rsid w:val="000A0D3E"/>
    <w:rsid w:val="000D1B9F"/>
    <w:rsid w:val="000D40B5"/>
    <w:rsid w:val="000D6634"/>
    <w:rsid w:val="000F721F"/>
    <w:rsid w:val="0010093C"/>
    <w:rsid w:val="00152250"/>
    <w:rsid w:val="0015471C"/>
    <w:rsid w:val="00157F7F"/>
    <w:rsid w:val="00157FE2"/>
    <w:rsid w:val="0017654D"/>
    <w:rsid w:val="00180D9B"/>
    <w:rsid w:val="001830F8"/>
    <w:rsid w:val="001864FA"/>
    <w:rsid w:val="001875B8"/>
    <w:rsid w:val="001B1EAF"/>
    <w:rsid w:val="001C0202"/>
    <w:rsid w:val="001D7CBD"/>
    <w:rsid w:val="001F2271"/>
    <w:rsid w:val="001F3059"/>
    <w:rsid w:val="0020220C"/>
    <w:rsid w:val="00203E2C"/>
    <w:rsid w:val="0020673E"/>
    <w:rsid w:val="00214AA8"/>
    <w:rsid w:val="002263AF"/>
    <w:rsid w:val="0022771C"/>
    <w:rsid w:val="00241EAA"/>
    <w:rsid w:val="002538DB"/>
    <w:rsid w:val="00261315"/>
    <w:rsid w:val="002741B2"/>
    <w:rsid w:val="00290FDA"/>
    <w:rsid w:val="00295CD8"/>
    <w:rsid w:val="002A1D47"/>
    <w:rsid w:val="002A56F5"/>
    <w:rsid w:val="002A7FE6"/>
    <w:rsid w:val="002C14BF"/>
    <w:rsid w:val="002D342E"/>
    <w:rsid w:val="002D65D3"/>
    <w:rsid w:val="00302F0B"/>
    <w:rsid w:val="00335A5C"/>
    <w:rsid w:val="003372D3"/>
    <w:rsid w:val="003451F7"/>
    <w:rsid w:val="003469AD"/>
    <w:rsid w:val="00366920"/>
    <w:rsid w:val="00382688"/>
    <w:rsid w:val="00382EDB"/>
    <w:rsid w:val="00397744"/>
    <w:rsid w:val="003B564D"/>
    <w:rsid w:val="003D6A4F"/>
    <w:rsid w:val="003F5B4B"/>
    <w:rsid w:val="003F619F"/>
    <w:rsid w:val="003F7F6F"/>
    <w:rsid w:val="00402D97"/>
    <w:rsid w:val="00437062"/>
    <w:rsid w:val="00437702"/>
    <w:rsid w:val="00440E29"/>
    <w:rsid w:val="00450DFA"/>
    <w:rsid w:val="00461BFC"/>
    <w:rsid w:val="004623C1"/>
    <w:rsid w:val="00470433"/>
    <w:rsid w:val="0049181D"/>
    <w:rsid w:val="0049232D"/>
    <w:rsid w:val="00497244"/>
    <w:rsid w:val="004A7C5F"/>
    <w:rsid w:val="004B3147"/>
    <w:rsid w:val="004B4BEC"/>
    <w:rsid w:val="004C6B92"/>
    <w:rsid w:val="004D513D"/>
    <w:rsid w:val="004D5762"/>
    <w:rsid w:val="004D7E20"/>
    <w:rsid w:val="004E2338"/>
    <w:rsid w:val="004E2B92"/>
    <w:rsid w:val="004F17CC"/>
    <w:rsid w:val="005127A9"/>
    <w:rsid w:val="00517466"/>
    <w:rsid w:val="0052155A"/>
    <w:rsid w:val="005342AD"/>
    <w:rsid w:val="00553DD2"/>
    <w:rsid w:val="005555BC"/>
    <w:rsid w:val="00555F0E"/>
    <w:rsid w:val="0055722F"/>
    <w:rsid w:val="00576BB6"/>
    <w:rsid w:val="00577512"/>
    <w:rsid w:val="0058624C"/>
    <w:rsid w:val="005A27DA"/>
    <w:rsid w:val="005A400E"/>
    <w:rsid w:val="005A67F9"/>
    <w:rsid w:val="005B421A"/>
    <w:rsid w:val="005B5BEA"/>
    <w:rsid w:val="005E7AB0"/>
    <w:rsid w:val="005F0B1A"/>
    <w:rsid w:val="005F1107"/>
    <w:rsid w:val="0060532E"/>
    <w:rsid w:val="0060750E"/>
    <w:rsid w:val="006134BE"/>
    <w:rsid w:val="006237E2"/>
    <w:rsid w:val="006645C2"/>
    <w:rsid w:val="006721D8"/>
    <w:rsid w:val="00672B4F"/>
    <w:rsid w:val="006736AC"/>
    <w:rsid w:val="006825C8"/>
    <w:rsid w:val="006874C4"/>
    <w:rsid w:val="006B1414"/>
    <w:rsid w:val="006C04EB"/>
    <w:rsid w:val="006C0699"/>
    <w:rsid w:val="006C6F57"/>
    <w:rsid w:val="006E3846"/>
    <w:rsid w:val="007041C8"/>
    <w:rsid w:val="007121BE"/>
    <w:rsid w:val="0071233E"/>
    <w:rsid w:val="00741582"/>
    <w:rsid w:val="00741B88"/>
    <w:rsid w:val="007564DD"/>
    <w:rsid w:val="007655AF"/>
    <w:rsid w:val="00773EDC"/>
    <w:rsid w:val="007743FB"/>
    <w:rsid w:val="0077619D"/>
    <w:rsid w:val="007848EF"/>
    <w:rsid w:val="007856A5"/>
    <w:rsid w:val="007A289D"/>
    <w:rsid w:val="007B4681"/>
    <w:rsid w:val="007C5C05"/>
    <w:rsid w:val="007E038F"/>
    <w:rsid w:val="007F0DD5"/>
    <w:rsid w:val="007F2FB4"/>
    <w:rsid w:val="008030EB"/>
    <w:rsid w:val="00826688"/>
    <w:rsid w:val="0083358E"/>
    <w:rsid w:val="008362EC"/>
    <w:rsid w:val="00837F70"/>
    <w:rsid w:val="0084315E"/>
    <w:rsid w:val="008436B8"/>
    <w:rsid w:val="00853814"/>
    <w:rsid w:val="00865452"/>
    <w:rsid w:val="00876A2E"/>
    <w:rsid w:val="008829B2"/>
    <w:rsid w:val="008852F6"/>
    <w:rsid w:val="008B1191"/>
    <w:rsid w:val="008B6515"/>
    <w:rsid w:val="008E000B"/>
    <w:rsid w:val="00924588"/>
    <w:rsid w:val="00933405"/>
    <w:rsid w:val="00941B61"/>
    <w:rsid w:val="00955264"/>
    <w:rsid w:val="00962E43"/>
    <w:rsid w:val="00994072"/>
    <w:rsid w:val="0099450C"/>
    <w:rsid w:val="009A22AD"/>
    <w:rsid w:val="009A3DFE"/>
    <w:rsid w:val="009A3E21"/>
    <w:rsid w:val="009B1B37"/>
    <w:rsid w:val="009B1D1B"/>
    <w:rsid w:val="009B7202"/>
    <w:rsid w:val="009C0537"/>
    <w:rsid w:val="009E3586"/>
    <w:rsid w:val="009F5123"/>
    <w:rsid w:val="009F6033"/>
    <w:rsid w:val="00A16DA5"/>
    <w:rsid w:val="00A52972"/>
    <w:rsid w:val="00A62AB1"/>
    <w:rsid w:val="00A90DD5"/>
    <w:rsid w:val="00A9480E"/>
    <w:rsid w:val="00AB78F2"/>
    <w:rsid w:val="00AC5333"/>
    <w:rsid w:val="00B03447"/>
    <w:rsid w:val="00B06432"/>
    <w:rsid w:val="00B1357A"/>
    <w:rsid w:val="00B20ECA"/>
    <w:rsid w:val="00B24922"/>
    <w:rsid w:val="00B32C5F"/>
    <w:rsid w:val="00B32CAA"/>
    <w:rsid w:val="00B32F4B"/>
    <w:rsid w:val="00B53949"/>
    <w:rsid w:val="00B60913"/>
    <w:rsid w:val="00B62691"/>
    <w:rsid w:val="00B6776D"/>
    <w:rsid w:val="00B71A6F"/>
    <w:rsid w:val="00BA4185"/>
    <w:rsid w:val="00BD1E64"/>
    <w:rsid w:val="00BE43A9"/>
    <w:rsid w:val="00BE6928"/>
    <w:rsid w:val="00BE702B"/>
    <w:rsid w:val="00BF2776"/>
    <w:rsid w:val="00BF490D"/>
    <w:rsid w:val="00BF7E82"/>
    <w:rsid w:val="00C1487C"/>
    <w:rsid w:val="00C16D3B"/>
    <w:rsid w:val="00C2083A"/>
    <w:rsid w:val="00C41430"/>
    <w:rsid w:val="00C66825"/>
    <w:rsid w:val="00C812A9"/>
    <w:rsid w:val="00C82951"/>
    <w:rsid w:val="00C83443"/>
    <w:rsid w:val="00C9607E"/>
    <w:rsid w:val="00CA5D9A"/>
    <w:rsid w:val="00CC2479"/>
    <w:rsid w:val="00CC24B8"/>
    <w:rsid w:val="00CC3212"/>
    <w:rsid w:val="00CE09F1"/>
    <w:rsid w:val="00CE1105"/>
    <w:rsid w:val="00CF2769"/>
    <w:rsid w:val="00CF2B4F"/>
    <w:rsid w:val="00CF3417"/>
    <w:rsid w:val="00CF3667"/>
    <w:rsid w:val="00D04989"/>
    <w:rsid w:val="00D11F7B"/>
    <w:rsid w:val="00D17D86"/>
    <w:rsid w:val="00D221F9"/>
    <w:rsid w:val="00D34657"/>
    <w:rsid w:val="00D36808"/>
    <w:rsid w:val="00D464D4"/>
    <w:rsid w:val="00D6112D"/>
    <w:rsid w:val="00D61CB4"/>
    <w:rsid w:val="00D61D8F"/>
    <w:rsid w:val="00D76AD7"/>
    <w:rsid w:val="00D77B86"/>
    <w:rsid w:val="00D85F9E"/>
    <w:rsid w:val="00D90984"/>
    <w:rsid w:val="00DA0E04"/>
    <w:rsid w:val="00DA6394"/>
    <w:rsid w:val="00DC35FC"/>
    <w:rsid w:val="00DC3F05"/>
    <w:rsid w:val="00DD584E"/>
    <w:rsid w:val="00DE7B39"/>
    <w:rsid w:val="00DF1EC8"/>
    <w:rsid w:val="00DF6D77"/>
    <w:rsid w:val="00E12668"/>
    <w:rsid w:val="00E26B3C"/>
    <w:rsid w:val="00E335AE"/>
    <w:rsid w:val="00E36BB0"/>
    <w:rsid w:val="00E5003F"/>
    <w:rsid w:val="00E50703"/>
    <w:rsid w:val="00E60128"/>
    <w:rsid w:val="00E7153F"/>
    <w:rsid w:val="00EA6ECF"/>
    <w:rsid w:val="00EB04A3"/>
    <w:rsid w:val="00EC5C54"/>
    <w:rsid w:val="00ED1FD9"/>
    <w:rsid w:val="00ED323A"/>
    <w:rsid w:val="00EE5F8B"/>
    <w:rsid w:val="00EF4B9D"/>
    <w:rsid w:val="00EF735E"/>
    <w:rsid w:val="00EF79EF"/>
    <w:rsid w:val="00F171E4"/>
    <w:rsid w:val="00F27D33"/>
    <w:rsid w:val="00F37663"/>
    <w:rsid w:val="00F4150B"/>
    <w:rsid w:val="00F45A6D"/>
    <w:rsid w:val="00F5626F"/>
    <w:rsid w:val="00F70EDF"/>
    <w:rsid w:val="00F93188"/>
    <w:rsid w:val="00FA3882"/>
    <w:rsid w:val="00FA49EA"/>
    <w:rsid w:val="00FB11F4"/>
    <w:rsid w:val="00FC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5B4D0-1426-4BDF-8121-6CF7642B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2250"/>
    <w:pPr>
      <w:spacing w:after="200" w:line="276" w:lineRule="auto"/>
      <w:ind w:left="720"/>
      <w:contextualSpacing/>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27347">
      <w:bodyDiv w:val="1"/>
      <w:marLeft w:val="0"/>
      <w:marRight w:val="0"/>
      <w:marTop w:val="0"/>
      <w:marBottom w:val="0"/>
      <w:divBdr>
        <w:top w:val="none" w:sz="0" w:space="0" w:color="auto"/>
        <w:left w:val="none" w:sz="0" w:space="0" w:color="auto"/>
        <w:bottom w:val="none" w:sz="0" w:space="0" w:color="auto"/>
        <w:right w:val="none" w:sz="0" w:space="0" w:color="auto"/>
      </w:divBdr>
    </w:div>
    <w:div w:id="11396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Audit 1</c:v>
                </c:pt>
              </c:strCache>
            </c:strRef>
          </c:tx>
          <c:marker>
            <c:symbol val="none"/>
          </c:marker>
          <c:cat>
            <c:strRef>
              <c:f>Sheet1!$A$2:$A$16</c:f>
              <c:strCache>
                <c:ptCount val="14"/>
                <c:pt idx="0">
                  <c:v>Named</c:v>
                </c:pt>
                <c:pt idx="1">
                  <c:v>Address</c:v>
                </c:pt>
                <c:pt idx="2">
                  <c:v>Phone</c:v>
                </c:pt>
                <c:pt idx="3">
                  <c:v>CA</c:v>
                </c:pt>
                <c:pt idx="4">
                  <c:v>Invited to ICC</c:v>
                </c:pt>
                <c:pt idx="5">
                  <c:v>!nvolvement</c:v>
                </c:pt>
                <c:pt idx="6">
                  <c:v>Risk</c:v>
                </c:pt>
                <c:pt idx="7">
                  <c:v>Strengths</c:v>
                </c:pt>
                <c:pt idx="8">
                  <c:v>% Support for fathers compared to mothers</c:v>
                </c:pt>
                <c:pt idx="9">
                  <c:v>Invited to RCC</c:v>
                </c:pt>
                <c:pt idx="10">
                  <c:v>Involvement</c:v>
                </c:pt>
                <c:pt idx="11">
                  <c:v>Risk</c:v>
                </c:pt>
                <c:pt idx="12">
                  <c:v>Strengths</c:v>
                </c:pt>
                <c:pt idx="13">
                  <c:v>% Support for fathers compared to mothers</c:v>
                </c:pt>
              </c:strCache>
            </c:strRef>
          </c:cat>
          <c:val>
            <c:numRef>
              <c:f>Sheet1!$B$2:$B$16</c:f>
              <c:numCache>
                <c:formatCode>General</c:formatCode>
                <c:ptCount val="14"/>
                <c:pt idx="0">
                  <c:v>76</c:v>
                </c:pt>
                <c:pt idx="1">
                  <c:v>62</c:v>
                </c:pt>
                <c:pt idx="2">
                  <c:v>52</c:v>
                </c:pt>
                <c:pt idx="3">
                  <c:v>47</c:v>
                </c:pt>
                <c:pt idx="4">
                  <c:v>72</c:v>
                </c:pt>
                <c:pt idx="5">
                  <c:v>78</c:v>
                </c:pt>
                <c:pt idx="6">
                  <c:v>61</c:v>
                </c:pt>
                <c:pt idx="7">
                  <c:v>44</c:v>
                </c:pt>
                <c:pt idx="8">
                  <c:v>46</c:v>
                </c:pt>
                <c:pt idx="9">
                  <c:v>58</c:v>
                </c:pt>
                <c:pt idx="10">
                  <c:v>67</c:v>
                </c:pt>
                <c:pt idx="11">
                  <c:v>55</c:v>
                </c:pt>
                <c:pt idx="12">
                  <c:v>50</c:v>
                </c:pt>
                <c:pt idx="13">
                  <c:v>42</c:v>
                </c:pt>
              </c:numCache>
            </c:numRef>
          </c:val>
          <c:smooth val="0"/>
        </c:ser>
        <c:ser>
          <c:idx val="1"/>
          <c:order val="1"/>
          <c:tx>
            <c:strRef>
              <c:f>Sheet1!$C$1</c:f>
              <c:strCache>
                <c:ptCount val="1"/>
                <c:pt idx="0">
                  <c:v>Audit 2</c:v>
                </c:pt>
              </c:strCache>
            </c:strRef>
          </c:tx>
          <c:marker>
            <c:symbol val="none"/>
          </c:marker>
          <c:cat>
            <c:strRef>
              <c:f>Sheet1!$A$2:$A$16</c:f>
              <c:strCache>
                <c:ptCount val="14"/>
                <c:pt idx="0">
                  <c:v>Named</c:v>
                </c:pt>
                <c:pt idx="1">
                  <c:v>Address</c:v>
                </c:pt>
                <c:pt idx="2">
                  <c:v>Phone</c:v>
                </c:pt>
                <c:pt idx="3">
                  <c:v>CA</c:v>
                </c:pt>
                <c:pt idx="4">
                  <c:v>Invited to ICC</c:v>
                </c:pt>
                <c:pt idx="5">
                  <c:v>!nvolvement</c:v>
                </c:pt>
                <c:pt idx="6">
                  <c:v>Risk</c:v>
                </c:pt>
                <c:pt idx="7">
                  <c:v>Strengths</c:v>
                </c:pt>
                <c:pt idx="8">
                  <c:v>% Support for fathers compared to mothers</c:v>
                </c:pt>
                <c:pt idx="9">
                  <c:v>Invited to RCC</c:v>
                </c:pt>
                <c:pt idx="10">
                  <c:v>Involvement</c:v>
                </c:pt>
                <c:pt idx="11">
                  <c:v>Risk</c:v>
                </c:pt>
                <c:pt idx="12">
                  <c:v>Strengths</c:v>
                </c:pt>
                <c:pt idx="13">
                  <c:v>% Support for fathers compared to mothers</c:v>
                </c:pt>
              </c:strCache>
            </c:strRef>
          </c:cat>
          <c:val>
            <c:numRef>
              <c:f>Sheet1!$C$2:$C$16</c:f>
              <c:numCache>
                <c:formatCode>General</c:formatCode>
                <c:ptCount val="14"/>
                <c:pt idx="0">
                  <c:v>96</c:v>
                </c:pt>
                <c:pt idx="1">
                  <c:v>86</c:v>
                </c:pt>
                <c:pt idx="2">
                  <c:v>81</c:v>
                </c:pt>
                <c:pt idx="3">
                  <c:v>82</c:v>
                </c:pt>
                <c:pt idx="4">
                  <c:v>90</c:v>
                </c:pt>
                <c:pt idx="5">
                  <c:v>100</c:v>
                </c:pt>
                <c:pt idx="6">
                  <c:v>84</c:v>
                </c:pt>
                <c:pt idx="7">
                  <c:v>89</c:v>
                </c:pt>
                <c:pt idx="8">
                  <c:v>84</c:v>
                </c:pt>
                <c:pt idx="9">
                  <c:v>81</c:v>
                </c:pt>
                <c:pt idx="10">
                  <c:v>95</c:v>
                </c:pt>
                <c:pt idx="11">
                  <c:v>95</c:v>
                </c:pt>
                <c:pt idx="12">
                  <c:v>89</c:v>
                </c:pt>
                <c:pt idx="13">
                  <c:v>83</c:v>
                </c:pt>
              </c:numCache>
            </c:numRef>
          </c:val>
          <c:smooth val="0"/>
        </c:ser>
        <c:ser>
          <c:idx val="2"/>
          <c:order val="2"/>
          <c:tx>
            <c:strRef>
              <c:f>Sheet1!$D$1</c:f>
              <c:strCache>
                <c:ptCount val="1"/>
                <c:pt idx="0">
                  <c:v>Average</c:v>
                </c:pt>
              </c:strCache>
            </c:strRef>
          </c:tx>
          <c:marker>
            <c:symbol val="none"/>
          </c:marker>
          <c:cat>
            <c:strRef>
              <c:f>Sheet1!$A$2:$A$16</c:f>
              <c:strCache>
                <c:ptCount val="14"/>
                <c:pt idx="0">
                  <c:v>Named</c:v>
                </c:pt>
                <c:pt idx="1">
                  <c:v>Address</c:v>
                </c:pt>
                <c:pt idx="2">
                  <c:v>Phone</c:v>
                </c:pt>
                <c:pt idx="3">
                  <c:v>CA</c:v>
                </c:pt>
                <c:pt idx="4">
                  <c:v>Invited to ICC</c:v>
                </c:pt>
                <c:pt idx="5">
                  <c:v>!nvolvement</c:v>
                </c:pt>
                <c:pt idx="6">
                  <c:v>Risk</c:v>
                </c:pt>
                <c:pt idx="7">
                  <c:v>Strengths</c:v>
                </c:pt>
                <c:pt idx="8">
                  <c:v>% Support for fathers compared to mothers</c:v>
                </c:pt>
                <c:pt idx="9">
                  <c:v>Invited to RCC</c:v>
                </c:pt>
                <c:pt idx="10">
                  <c:v>Involvement</c:v>
                </c:pt>
                <c:pt idx="11">
                  <c:v>Risk</c:v>
                </c:pt>
                <c:pt idx="12">
                  <c:v>Strengths</c:v>
                </c:pt>
                <c:pt idx="13">
                  <c:v>% Support for fathers compared to mothers</c:v>
                </c:pt>
              </c:strCache>
            </c:strRef>
          </c:cat>
          <c:val>
            <c:numRef>
              <c:f>Sheet1!$D$2:$D$16</c:f>
              <c:numCache>
                <c:formatCode>General</c:formatCode>
                <c:ptCount val="14"/>
                <c:pt idx="0">
                  <c:v>92</c:v>
                </c:pt>
                <c:pt idx="1">
                  <c:v>79</c:v>
                </c:pt>
                <c:pt idx="2">
                  <c:v>62</c:v>
                </c:pt>
                <c:pt idx="3">
                  <c:v>48</c:v>
                </c:pt>
                <c:pt idx="4">
                  <c:v>60</c:v>
                </c:pt>
                <c:pt idx="5">
                  <c:v>76</c:v>
                </c:pt>
                <c:pt idx="6">
                  <c:v>70</c:v>
                </c:pt>
                <c:pt idx="7">
                  <c:v>38</c:v>
                </c:pt>
                <c:pt idx="8">
                  <c:v>53</c:v>
                </c:pt>
                <c:pt idx="9">
                  <c:v>58</c:v>
                </c:pt>
                <c:pt idx="10">
                  <c:v>64</c:v>
                </c:pt>
                <c:pt idx="11">
                  <c:v>64</c:v>
                </c:pt>
                <c:pt idx="12">
                  <c:v>42</c:v>
                </c:pt>
                <c:pt idx="13">
                  <c:v>54</c:v>
                </c:pt>
              </c:numCache>
            </c:numRef>
          </c:val>
          <c:smooth val="0"/>
        </c:ser>
        <c:dLbls>
          <c:showLegendKey val="0"/>
          <c:showVal val="0"/>
          <c:showCatName val="0"/>
          <c:showSerName val="0"/>
          <c:showPercent val="0"/>
          <c:showBubbleSize val="0"/>
        </c:dLbls>
        <c:smooth val="0"/>
        <c:axId val="271279464"/>
        <c:axId val="271279856"/>
      </c:lineChart>
      <c:catAx>
        <c:axId val="271279464"/>
        <c:scaling>
          <c:orientation val="minMax"/>
        </c:scaling>
        <c:delete val="0"/>
        <c:axPos val="b"/>
        <c:numFmt formatCode="General" sourceLinked="0"/>
        <c:majorTickMark val="out"/>
        <c:minorTickMark val="none"/>
        <c:tickLblPos val="nextTo"/>
        <c:txPr>
          <a:bodyPr rot="-5400000" vert="horz"/>
          <a:lstStyle/>
          <a:p>
            <a:pPr>
              <a:defRPr sz="1200"/>
            </a:pPr>
            <a:endParaRPr lang="en-US"/>
          </a:p>
        </c:txPr>
        <c:crossAx val="271279856"/>
        <c:crosses val="autoZero"/>
        <c:auto val="0"/>
        <c:lblAlgn val="ctr"/>
        <c:lblOffset val="100"/>
        <c:noMultiLvlLbl val="0"/>
      </c:catAx>
      <c:valAx>
        <c:axId val="271279856"/>
        <c:scaling>
          <c:orientation val="minMax"/>
          <c:max val="100"/>
          <c:min val="0"/>
        </c:scaling>
        <c:delete val="0"/>
        <c:axPos val="l"/>
        <c:majorGridlines/>
        <c:numFmt formatCode="General" sourceLinked="0"/>
        <c:majorTickMark val="out"/>
        <c:minorTickMark val="none"/>
        <c:tickLblPos val="nextTo"/>
        <c:crossAx val="271279464"/>
        <c:crosses val="autoZero"/>
        <c:crossBetween val="between"/>
      </c:valAx>
    </c:plotArea>
    <c:legend>
      <c:legendPos val="r"/>
      <c:layout/>
      <c:overlay val="0"/>
    </c:legend>
    <c:plotVisOnly val="1"/>
    <c:dispBlanksAs val="zero"/>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Lewis</dc:creator>
  <cp:keywords/>
  <dc:description/>
  <cp:lastModifiedBy>Alan Thompson</cp:lastModifiedBy>
  <cp:revision>2</cp:revision>
  <dcterms:created xsi:type="dcterms:W3CDTF">2015-06-25T09:35:00Z</dcterms:created>
  <dcterms:modified xsi:type="dcterms:W3CDTF">2015-06-25T09:35:00Z</dcterms:modified>
</cp:coreProperties>
</file>